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174F2" w14:textId="30FC3062" w:rsidR="00BC0C23" w:rsidRPr="0003718D" w:rsidRDefault="00BC0C23" w:rsidP="00BC0C23">
      <w:pPr>
        <w:rPr>
          <w:b/>
        </w:rPr>
      </w:pPr>
      <w:bookmarkStart w:id="0" w:name="_Hlk525389873"/>
      <w:r w:rsidRPr="0003718D">
        <w:rPr>
          <w:b/>
        </w:rPr>
        <w:t>Příloha č. 1</w:t>
      </w:r>
      <w:r w:rsidR="004B472C" w:rsidRPr="0003718D">
        <w:rPr>
          <w:b/>
        </w:rPr>
        <w:t xml:space="preserve"> </w:t>
      </w:r>
      <w:r w:rsidR="008449BB">
        <w:rPr>
          <w:b/>
        </w:rPr>
        <w:t>Smlouvy o dílo</w:t>
      </w:r>
      <w:r w:rsidRPr="0003718D">
        <w:rPr>
          <w:b/>
        </w:rPr>
        <w:t xml:space="preserve"> – </w:t>
      </w:r>
      <w:bookmarkEnd w:id="0"/>
      <w:r w:rsidRPr="0003718D">
        <w:rPr>
          <w:b/>
        </w:rPr>
        <w:t>Technická specifikace</w:t>
      </w:r>
    </w:p>
    <w:p w14:paraId="4BC02A4D" w14:textId="77777777" w:rsidR="00BC0C23" w:rsidRPr="0003718D" w:rsidRDefault="00925A5B" w:rsidP="00BC0C23">
      <w:pPr>
        <w:pStyle w:val="Normln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pict w14:anchorId="671AE1F7">
          <v:rect id="_x0000_i1025" style="width:0;height:1.5pt" o:hralign="center" o:hrstd="t" o:hr="t" fillcolor="#a0a0a0" stroked="f"/>
        </w:pict>
      </w:r>
    </w:p>
    <w:p w14:paraId="2623A344" w14:textId="77777777" w:rsidR="00C67F9C" w:rsidRPr="001B3F1E" w:rsidRDefault="00C67F9C" w:rsidP="00C67F9C">
      <w:pPr>
        <w:jc w:val="both"/>
        <w:rPr>
          <w:b/>
          <w:bCs/>
          <w:sz w:val="22"/>
          <w:szCs w:val="22"/>
          <w:u w:val="single"/>
        </w:rPr>
      </w:pPr>
    </w:p>
    <w:p w14:paraId="7BCBE8A8" w14:textId="77777777" w:rsidR="0003718D" w:rsidRPr="001B3F1E" w:rsidRDefault="0003718D" w:rsidP="0003718D">
      <w:pPr>
        <w:pStyle w:val="Nadpis2"/>
        <w:numPr>
          <w:ilvl w:val="0"/>
          <w:numId w:val="5"/>
        </w:numPr>
        <w:rPr>
          <w:rStyle w:val="Siln"/>
          <w:rFonts w:ascii="Times New Roman" w:hAnsi="Times New Roman"/>
          <w:b/>
          <w:bCs w:val="0"/>
          <w:sz w:val="24"/>
          <w:szCs w:val="24"/>
        </w:rPr>
      </w:pPr>
      <w:r w:rsidRPr="001B3F1E">
        <w:rPr>
          <w:rStyle w:val="Siln"/>
          <w:rFonts w:ascii="Times New Roman" w:hAnsi="Times New Roman"/>
          <w:b/>
          <w:sz w:val="24"/>
          <w:szCs w:val="24"/>
        </w:rPr>
        <w:t>Popis zařízení</w:t>
      </w:r>
    </w:p>
    <w:p w14:paraId="58A96918" w14:textId="77777777" w:rsidR="0003718D" w:rsidRPr="001B3F1E" w:rsidRDefault="0003718D" w:rsidP="0003718D">
      <w:pPr>
        <w:tabs>
          <w:tab w:val="left" w:pos="945"/>
        </w:tabs>
        <w:rPr>
          <w:sz w:val="22"/>
          <w:szCs w:val="22"/>
        </w:rPr>
      </w:pPr>
    </w:p>
    <w:p w14:paraId="7631A57E" w14:textId="77777777" w:rsidR="0003718D" w:rsidRPr="001B3F1E" w:rsidRDefault="0003718D" w:rsidP="0003718D">
      <w:pPr>
        <w:tabs>
          <w:tab w:val="left" w:pos="945"/>
        </w:tabs>
        <w:rPr>
          <w:sz w:val="22"/>
          <w:szCs w:val="22"/>
        </w:rPr>
      </w:pPr>
      <w:r w:rsidRPr="001B3F1E">
        <w:rPr>
          <w:sz w:val="22"/>
          <w:szCs w:val="22"/>
        </w:rPr>
        <w:t>Předmětem veřejné zakázky je instalace systému pro řízení varovného světelného zařízení pomocí V2X. Konkrétně se jedná o spínání osvětlení nástupní hrany a světelných prvků v přechodu pro chodce.</w:t>
      </w:r>
    </w:p>
    <w:p w14:paraId="69A6C290" w14:textId="77777777" w:rsidR="0003718D" w:rsidRPr="001B3F1E" w:rsidRDefault="0003718D" w:rsidP="0003718D">
      <w:pPr>
        <w:tabs>
          <w:tab w:val="left" w:pos="945"/>
        </w:tabs>
        <w:rPr>
          <w:sz w:val="22"/>
          <w:szCs w:val="22"/>
        </w:rPr>
      </w:pPr>
    </w:p>
    <w:p w14:paraId="3D830ED1" w14:textId="77777777" w:rsidR="0003718D" w:rsidRPr="001B3F1E" w:rsidRDefault="0003718D" w:rsidP="0003718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965CB">
        <w:rPr>
          <w:rFonts w:eastAsiaTheme="minorHAnsi"/>
          <w:color w:val="000000"/>
          <w:sz w:val="22"/>
          <w:szCs w:val="22"/>
          <w:lang w:eastAsia="en-US"/>
        </w:rPr>
        <w:t>Na stožárech 25/14 a 25/18 budou nainstalovány skříně rozvaděčů se zdrojem pro napájení osvětlení nástupní hrany RON1, resp. RON2. Skříně varovného světelného zařízení (VSZ) 600/24V, budou umožňovat nejen blikání nástupních hran, ale i varování zemními svítidly v obou chodeckých přechodech přes tramvajovou trať. Skříně VZS budou napojeny na trakční napětí z troleje a ukolejnění. Skříně budou napájet vlastní svítidla umístěná v dlažbě nástupiště a přechodů přes trať v rámci SO 661. Povely pro sepnutí blikání budou získány systémem V2X. Zhotovitel provedl v rámci stavby osazení varovných světel v nástupních hranách obou nástupišť tramvajové zastávky Krajský úřad a varovných světelných lišt v místech obou přechodů přes tramvajovou trať. Dále provedl osazení chrániček pro umístění kabelů mezi budoucími ovládacími skříněmi VSZ1 na STV 25/18 a VSZ2 na STV 25/14 a varovnými světly a lištami.  Po dodávce řídících skříní a jednotek RSU provede zhotovitel jejich osazení, kabelové propojení a oživení. Pro rozváděč na trakčním sloupu číslo 25/14 jsou připravené 2 kabely CYKY-O 2x4 pro osvětlení hrany nástupiště, 2 kabely CYKY-O 2x4 pro osvětlení přechodu, ukolejnění kabelem CYA 16 a koordinační kabel YSYLY 12x1,5. Pro rozváděč na trakčním sloupu číslo 25/18 jsou připravené 2 kabely CYKY-O 2x4  pro osvětlení hrany nástupiště, 2 kabely CYKY-O 2x4 pro osvětlení přechodu, ukolejnění CYA 16 a koordinační kabel YSLY 12x1,5.</w:t>
      </w:r>
    </w:p>
    <w:p w14:paraId="67DC2F1B" w14:textId="77777777" w:rsidR="0003718D" w:rsidRPr="001B3F1E" w:rsidRDefault="0003718D" w:rsidP="0003718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05080E15" w14:textId="34F98BAE" w:rsidR="0003718D" w:rsidRPr="001B3F1E" w:rsidRDefault="0003718D" w:rsidP="0003718D">
      <w:pPr>
        <w:tabs>
          <w:tab w:val="left" w:pos="945"/>
        </w:tabs>
        <w:jc w:val="both"/>
        <w:rPr>
          <w:rFonts w:eastAsiaTheme="minorHAnsi"/>
          <w:sz w:val="22"/>
          <w:szCs w:val="22"/>
          <w:lang w:eastAsia="en-US"/>
        </w:rPr>
      </w:pPr>
      <w:r w:rsidRPr="001B3F1E">
        <w:rPr>
          <w:sz w:val="22"/>
          <w:szCs w:val="22"/>
        </w:rPr>
        <w:t>Spínání světel bude realizováno pomocí získaných informací z vysílaných dat V2X z vozidel  MHD. Vysílaná data V2X jsou dle standardu C-ITS</w:t>
      </w:r>
      <w:r w:rsidR="000A2498">
        <w:rPr>
          <w:sz w:val="22"/>
          <w:szCs w:val="22"/>
        </w:rPr>
        <w:t xml:space="preserve"> G</w:t>
      </w:r>
      <w:r w:rsidR="007F5CA1">
        <w:rPr>
          <w:sz w:val="22"/>
          <w:szCs w:val="22"/>
        </w:rPr>
        <w:t>5</w:t>
      </w:r>
      <w:r w:rsidRPr="001B3F1E">
        <w:rPr>
          <w:sz w:val="22"/>
          <w:szCs w:val="22"/>
        </w:rPr>
        <w:t xml:space="preserve"> (CAM, DENM, SPAT, MAP, SREM, SSEM). Tato data jsou přijímána j</w:t>
      </w:r>
      <w:r w:rsidRPr="001B3F1E">
        <w:rPr>
          <w:rFonts w:eastAsiaTheme="minorHAnsi"/>
          <w:sz w:val="22"/>
          <w:szCs w:val="22"/>
          <w:lang w:eastAsia="en-US"/>
        </w:rPr>
        <w:t xml:space="preserve">ednotkou RSU, která následně z přijatých zpráv, předává potřebné informace pro spínání světel do zařízení VSZ (varovné světelné zařízení) pro řízení osvětlení nástupní hrany nebo světelných prvků v přechodu pro chodce. </w:t>
      </w:r>
    </w:p>
    <w:p w14:paraId="202DA1F1" w14:textId="77777777" w:rsidR="0003718D" w:rsidRPr="001B3F1E" w:rsidRDefault="0003718D" w:rsidP="0003718D">
      <w:pPr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Zapnutí a vypnutí osvětlení nástupní hrany: </w:t>
      </w:r>
    </w:p>
    <w:p w14:paraId="11AA60D6" w14:textId="32FA7B55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Světla nástupní hrany svítí bílou barvou přerušovaně s periodou 1 sekunda a </w:t>
      </w:r>
      <w:r w:rsidR="000B785C">
        <w:rPr>
          <w:sz w:val="22"/>
          <w:szCs w:val="22"/>
        </w:rPr>
        <w:t>střídavě</w:t>
      </w:r>
      <w:r w:rsidR="000B785C" w:rsidRPr="001B3F1E">
        <w:rPr>
          <w:sz w:val="22"/>
          <w:szCs w:val="22"/>
        </w:rPr>
        <w:t xml:space="preserve"> </w:t>
      </w:r>
      <w:r w:rsidRPr="001B3F1E">
        <w:rPr>
          <w:sz w:val="22"/>
          <w:szCs w:val="22"/>
        </w:rPr>
        <w:t xml:space="preserve">50:50 (0,5s svítí a 0,5 </w:t>
      </w:r>
      <w:r w:rsidR="000B785C">
        <w:rPr>
          <w:sz w:val="22"/>
          <w:szCs w:val="22"/>
        </w:rPr>
        <w:t>s nesvítí).</w:t>
      </w:r>
      <w:r w:rsidR="004F0229">
        <w:rPr>
          <w:sz w:val="22"/>
          <w:szCs w:val="22"/>
        </w:rPr>
        <w:t xml:space="preserve"> </w:t>
      </w:r>
      <w:r w:rsidRPr="001B3F1E">
        <w:rPr>
          <w:sz w:val="22"/>
          <w:szCs w:val="22"/>
        </w:rPr>
        <w:t xml:space="preserve">Po zastavení vozidla a otevření dveří se osvětlení deaktivuje </w:t>
      </w:r>
    </w:p>
    <w:p w14:paraId="5051B3C1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100-150m před začátkem nástupiště, resp. minimálně 10 sekund před příjezdem vozidla k zastávce (k začátku nástupního ostrůvku ve směru jízdy přijíždějícího vozidla) se aktivuje osvětlení nástupní hrany ostrůvku ve směru jízdy přijíždějícího vozidla přerušovaným blikáním.</w:t>
      </w:r>
    </w:p>
    <w:p w14:paraId="6969CDED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Vzdálenost a doba aktivace/deaktivace musí být uživatelsky nastavitelná. Určující je také maximální povolená rychlost jízdy v úseku před zastávkou. </w:t>
      </w:r>
    </w:p>
    <w:p w14:paraId="1B0DDCA2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Délka úseku se volí tak, aby byla světla aktivována alespoň 10 sekund před příjezdem vozidla k zastávce maximální povolenou rychlostí.</w:t>
      </w:r>
    </w:p>
    <w:p w14:paraId="7DD5FD07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Světla se deaktivují buď po projetí vozidla a opuštění prostoru zastávky v případě, že vozidlo na zastávce nezastavuje nebo po zastavení vozidla v zastávce a otevření dveří. </w:t>
      </w:r>
    </w:p>
    <w:p w14:paraId="1558EF01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 případě, že standardní trakci zajišťuje náhradní vozidlo z jiné trakce, musí být možno použití VSZ, taktéž pro konkrétní náhradní vozidla, např. použitím seznamu linek. Tuto funkci požadujeme řešit výhledově,</w:t>
      </w:r>
    </w:p>
    <w:p w14:paraId="0FD5BDC7" w14:textId="77777777" w:rsidR="0003718D" w:rsidRPr="001B3F1E" w:rsidRDefault="0003718D" w:rsidP="0003718D">
      <w:pPr>
        <w:ind w:left="1440"/>
        <w:jc w:val="both"/>
        <w:textAlignment w:val="center"/>
        <w:rPr>
          <w:sz w:val="22"/>
          <w:szCs w:val="22"/>
        </w:rPr>
      </w:pPr>
    </w:p>
    <w:p w14:paraId="15DE288D" w14:textId="77777777" w:rsidR="0003718D" w:rsidRPr="001B3F1E" w:rsidRDefault="0003718D" w:rsidP="0003718D">
      <w:pPr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  <w:u w:val="single"/>
        </w:rPr>
        <w:t>Zapnutí a vypnutí zemních svítidel před přechodem pro chodce přes tramvajovou trať</w:t>
      </w:r>
    </w:p>
    <w:p w14:paraId="06C677FA" w14:textId="485EAA91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Světla před přechodem pro chodce přes tramvajovou trať svítí červenou barvou přerušovaně s periodou 1 sekunda a </w:t>
      </w:r>
      <w:r w:rsidR="000B785C">
        <w:rPr>
          <w:sz w:val="22"/>
          <w:szCs w:val="22"/>
        </w:rPr>
        <w:t>střídavě</w:t>
      </w:r>
      <w:r w:rsidR="000B785C" w:rsidRPr="001B3F1E">
        <w:rPr>
          <w:sz w:val="22"/>
          <w:szCs w:val="22"/>
        </w:rPr>
        <w:t xml:space="preserve"> </w:t>
      </w:r>
      <w:r w:rsidRPr="001B3F1E">
        <w:rPr>
          <w:sz w:val="22"/>
          <w:szCs w:val="22"/>
        </w:rPr>
        <w:t>50:50 (0,5s svítí a 0,5s nesvítí).</w:t>
      </w:r>
    </w:p>
    <w:p w14:paraId="06F561A1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lastRenderedPageBreak/>
        <w:t>100-150m před příjezdem k  přechodu, resp. minimálně 10 sekund před příjezdem vozidla k přechodu pro chodce se aktivují světla před přechodem pro chodce. Délka úseku se volí tak, aby byla světla aktivována alespoň 10 sekund před příjezdem vozidla.</w:t>
      </w:r>
    </w:p>
    <w:p w14:paraId="0EAF0C9F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Vzdálenost a doba aktivace/deaktivace musí být uživatelsky nastavitelná. Určující je také povolená rychlost jízdy v úseku před zastávkou.</w:t>
      </w:r>
    </w:p>
    <w:p w14:paraId="6C83ECE7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Světla se deaktivují po projetí prostoru přechodu v uživatelsky možné nastavené vzdálenosti např. 35m (čelo vozidla) za ním. </w:t>
      </w:r>
    </w:p>
    <w:p w14:paraId="1C243C27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Světla se také deaktivují v případě, že všechna vozidla před přechodem stojí v zastávce a vysílají informaci o tom, že stojí v zastávce a nemají úmysl pokračovat v jízdě (například informace o otevření/odblokování dveří).</w:t>
      </w:r>
    </w:p>
    <w:p w14:paraId="35245CBD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Platí pro všechny koleje procházející přechodem v obou směrech jízdy.</w:t>
      </w:r>
    </w:p>
    <w:p w14:paraId="4F069DD2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Světla na přechodu se dále musí deaktivovat teprve tehdy, až všechna vozidla v obou směrech projedou přes přechod (pokud nezastaví v zastávce před přechodem a nevydávají informaci o otevření/odblokování dveří).</w:t>
      </w:r>
    </w:p>
    <w:p w14:paraId="4BE14EFD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Pokud vozidlo stojící v zastávce před přechodem pro chodce přestane vydávat informaci o otevření/odblokování dveří, aktivace světel přechodu pro chodce ve směru jízdy před vozidlem se obnoví. V tom případě se následně ukončí po projetí přechodu (čelo vozidla bude dál než 35m za přechodem).</w:t>
      </w:r>
    </w:p>
    <w:p w14:paraId="1DA0279D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 případě, že se na zastávce nachází více vozidel, proběhne deaktivace až po opuštění posledního vozidla ze zastávky po projetí přechodu (čelo vozidla bude dál než 35m za přechodem).</w:t>
      </w:r>
    </w:p>
    <w:p w14:paraId="241C7480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V případě, že standardní trakci zajišťuje náhradní vozidlo z jiné trakce, musí být možno použití VSZ taktéž pro konkrétní náhradní vozidla např. použitím seznamu linek. Tuto funkci požadujeme řešit výhledově. </w:t>
      </w:r>
    </w:p>
    <w:p w14:paraId="72AE0A65" w14:textId="77777777" w:rsidR="0003718D" w:rsidRPr="001B3F1E" w:rsidRDefault="0003718D" w:rsidP="0003718D">
      <w:pPr>
        <w:tabs>
          <w:tab w:val="left" w:pos="945"/>
        </w:tabs>
        <w:rPr>
          <w:rFonts w:eastAsiaTheme="minorHAnsi"/>
          <w:sz w:val="22"/>
          <w:szCs w:val="22"/>
          <w:lang w:eastAsia="en-US"/>
        </w:rPr>
      </w:pPr>
    </w:p>
    <w:p w14:paraId="19D1B1DD" w14:textId="77777777" w:rsidR="0003718D" w:rsidRPr="001B3F1E" w:rsidRDefault="0003718D" w:rsidP="0003718D">
      <w:pPr>
        <w:pStyle w:val="Nadpis2"/>
        <w:numPr>
          <w:ilvl w:val="0"/>
          <w:numId w:val="5"/>
        </w:numPr>
        <w:rPr>
          <w:rStyle w:val="Siln"/>
          <w:rFonts w:ascii="Times New Roman" w:hAnsi="Times New Roman"/>
          <w:b/>
          <w:bCs w:val="0"/>
          <w:sz w:val="24"/>
          <w:szCs w:val="24"/>
        </w:rPr>
      </w:pPr>
      <w:r w:rsidRPr="001B3F1E">
        <w:rPr>
          <w:rStyle w:val="Siln"/>
          <w:rFonts w:ascii="Times New Roman" w:hAnsi="Times New Roman"/>
          <w:b/>
          <w:sz w:val="24"/>
          <w:szCs w:val="24"/>
        </w:rPr>
        <w:t>Obecné technické požadavky pro VSZ</w:t>
      </w:r>
    </w:p>
    <w:p w14:paraId="1CA137CA" w14:textId="77777777" w:rsidR="0003718D" w:rsidRPr="001B3F1E" w:rsidRDefault="0003718D" w:rsidP="0003718D">
      <w:pPr>
        <w:tabs>
          <w:tab w:val="left" w:pos="945"/>
        </w:tabs>
        <w:rPr>
          <w:rFonts w:eastAsiaTheme="minorHAnsi"/>
          <w:sz w:val="22"/>
          <w:szCs w:val="22"/>
          <w:lang w:eastAsia="en-US"/>
        </w:rPr>
      </w:pPr>
    </w:p>
    <w:p w14:paraId="6FE60550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Všechny prvky v pracovním rozsahu teplot od -25°C do +70°C.</w:t>
      </w:r>
    </w:p>
    <w:p w14:paraId="6666D275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Prvky umístěné v kolejišti s odpovídající mechanickou odolností, vč. odolnosti vibracím (dle platných norem).</w:t>
      </w:r>
    </w:p>
    <w:p w14:paraId="11A4D136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Elektromagnetická kompatibilita (odolnost i rušení, dle platných norem).</w:t>
      </w:r>
    </w:p>
    <w:p w14:paraId="7AFABE02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Odolnost vůči zpětným trakčním proudům (dle platných norem).</w:t>
      </w:r>
    </w:p>
    <w:p w14:paraId="0058582E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Odolnost vůči vlhkosti a kondenzaci vodních par (dle platných norem).</w:t>
      </w:r>
    </w:p>
    <w:p w14:paraId="583B7D27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Vrchní hrana skříně technologie bude umístěna na trakční stožár  ve výšce  3m nad úrovní terénu.</w:t>
      </w:r>
    </w:p>
    <w:p w14:paraId="7D3D33F5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Napájení z trakčního vedení o jmenovitém stejnosměrném napětí 600V DC (s rozsahem min. 400V, max. 1200V), kladný pól v kolejnici. </w:t>
      </w:r>
    </w:p>
    <w:p w14:paraId="2FFF30B8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Skříň technologie VSZ o maximální velikosti 500x500x350mm, s krytím minimálně IP65. Vně skříně mohou být pouze prvky periferií v kolejišti, prvky pro přivedení a jištění primárního napájení, přepěťová ochrana primárního napájení z trakčního vedení a příjímací jednotka RSU (V2X).</w:t>
      </w:r>
    </w:p>
    <w:p w14:paraId="6BFCE047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Jednotka RSU (V2X) kompatibilní se systémem C-ITS G5.</w:t>
      </w:r>
    </w:p>
    <w:p w14:paraId="5F34F109" w14:textId="77777777" w:rsidR="0003718D" w:rsidRPr="001B3F1E" w:rsidRDefault="0003718D" w:rsidP="0003718D">
      <w:pPr>
        <w:numPr>
          <w:ilvl w:val="0"/>
          <w:numId w:val="7"/>
        </w:numPr>
        <w:tabs>
          <w:tab w:val="clear" w:pos="720"/>
        </w:tabs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Jednotky musí mít možnost konfigurace všech parametrů včetně aktualizací SW, a to i vzdáleně minimálně v rozsahu: </w:t>
      </w:r>
    </w:p>
    <w:p w14:paraId="0D0FE02E" w14:textId="77777777" w:rsidR="0003718D" w:rsidRPr="001B3F1E" w:rsidRDefault="0003718D" w:rsidP="0003718D">
      <w:pPr>
        <w:numPr>
          <w:ilvl w:val="1"/>
          <w:numId w:val="7"/>
        </w:numPr>
        <w:tabs>
          <w:tab w:val="clear" w:pos="1353"/>
          <w:tab w:val="num" w:pos="1440"/>
        </w:tabs>
        <w:suppressAutoHyphens w:val="0"/>
        <w:ind w:left="144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Trakce vozidel</w:t>
      </w:r>
    </w:p>
    <w:p w14:paraId="35180C7E" w14:textId="77777777" w:rsidR="0003718D" w:rsidRPr="001B3F1E" w:rsidRDefault="0003718D" w:rsidP="0003718D">
      <w:pPr>
        <w:numPr>
          <w:ilvl w:val="1"/>
          <w:numId w:val="7"/>
        </w:numPr>
        <w:tabs>
          <w:tab w:val="clear" w:pos="1353"/>
          <w:tab w:val="num" w:pos="1440"/>
        </w:tabs>
        <w:suppressAutoHyphens w:val="0"/>
        <w:ind w:left="144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Vzdálenosti aktivace a deaktivace světel</w:t>
      </w:r>
    </w:p>
    <w:p w14:paraId="76A4180F" w14:textId="77777777" w:rsidR="0003718D" w:rsidRPr="001B3F1E" w:rsidRDefault="0003718D" w:rsidP="0003718D">
      <w:pPr>
        <w:numPr>
          <w:ilvl w:val="1"/>
          <w:numId w:val="7"/>
        </w:numPr>
        <w:tabs>
          <w:tab w:val="clear" w:pos="1353"/>
          <w:tab w:val="num" w:pos="1440"/>
        </w:tabs>
        <w:suppressAutoHyphens w:val="0"/>
        <w:ind w:left="144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 xml:space="preserve">Aj. </w:t>
      </w:r>
    </w:p>
    <w:p w14:paraId="103BF2EF" w14:textId="77777777" w:rsidR="0003718D" w:rsidRPr="001B3F1E" w:rsidRDefault="0003718D" w:rsidP="0003718D">
      <w:pPr>
        <w:numPr>
          <w:ilvl w:val="0"/>
          <w:numId w:val="7"/>
        </w:numPr>
        <w:suppressAutoHyphens w:val="0"/>
        <w:ind w:left="56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Skříň VSZ obsahuje minimálně tyto základní prvky:</w:t>
      </w:r>
    </w:p>
    <w:p w14:paraId="66E37B7C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Zdroj 1000V/24V minimálně 240W pro napájení řídicí elektroniky.</w:t>
      </w:r>
    </w:p>
    <w:p w14:paraId="40053AE2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Záložní zdroj umožňující běžný nepřerušený provoz zařízení po dobu alespoň 1 hodiny.</w:t>
      </w:r>
    </w:p>
    <w:p w14:paraId="23B0CD17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Spínač místního ručního ovládání – odpojovač napájení skříně</w:t>
      </w:r>
    </w:p>
    <w:p w14:paraId="50B8AECA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Všechny čtyři výstupy ke světelným zdrojům budou samostatně jištěné 24V DC, spínané samostatně ve skupinách po dvou výstupech.</w:t>
      </w:r>
    </w:p>
    <w:p w14:paraId="58166781" w14:textId="77777777" w:rsidR="0003718D" w:rsidRPr="001B3F1E" w:rsidRDefault="0003718D" w:rsidP="0003718D">
      <w:pPr>
        <w:numPr>
          <w:ilvl w:val="1"/>
          <w:numId w:val="7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Přepěťové ochrany budou na všech vývodech řídicí skříně.</w:t>
      </w:r>
    </w:p>
    <w:p w14:paraId="6E8D9DD2" w14:textId="77777777" w:rsidR="0003718D" w:rsidRPr="001B3F1E" w:rsidRDefault="0003718D" w:rsidP="0003718D">
      <w:pPr>
        <w:tabs>
          <w:tab w:val="left" w:pos="945"/>
        </w:tabs>
        <w:jc w:val="both"/>
        <w:rPr>
          <w:sz w:val="22"/>
          <w:szCs w:val="22"/>
        </w:rPr>
      </w:pPr>
    </w:p>
    <w:p w14:paraId="49EC78F3" w14:textId="77777777" w:rsidR="0003718D" w:rsidRPr="001B3F1E" w:rsidRDefault="0003718D" w:rsidP="0003718D">
      <w:pPr>
        <w:tabs>
          <w:tab w:val="left" w:pos="945"/>
        </w:tabs>
        <w:jc w:val="both"/>
        <w:rPr>
          <w:sz w:val="22"/>
          <w:szCs w:val="22"/>
        </w:rPr>
      </w:pPr>
      <w:r w:rsidRPr="001B3F1E">
        <w:rPr>
          <w:sz w:val="22"/>
          <w:szCs w:val="22"/>
        </w:rPr>
        <w:t>Systém musí být vybaven dálkovým dohledem a záznamem historie událostí.</w:t>
      </w:r>
    </w:p>
    <w:p w14:paraId="0FE8DF44" w14:textId="77777777" w:rsidR="0003718D" w:rsidRPr="001B3F1E" w:rsidRDefault="0003718D" w:rsidP="0003718D">
      <w:pPr>
        <w:rPr>
          <w:sz w:val="22"/>
          <w:szCs w:val="22"/>
        </w:rPr>
      </w:pPr>
      <w:r w:rsidRPr="001B3F1E">
        <w:rPr>
          <w:sz w:val="22"/>
          <w:szCs w:val="22"/>
        </w:rPr>
        <w:t>Dálkový dohled je nutno řešit formou připojení do současného řešení dle standardu DPO:</w:t>
      </w:r>
    </w:p>
    <w:p w14:paraId="73C9F723" w14:textId="77777777" w:rsidR="0003718D" w:rsidRPr="001B3F1E" w:rsidRDefault="0003718D" w:rsidP="0003718D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/>
          <w:spacing w:val="4"/>
        </w:rPr>
      </w:pPr>
      <w:r w:rsidRPr="001B3F1E">
        <w:rPr>
          <w:rFonts w:ascii="Times New Roman" w:hAnsi="Times New Roman"/>
          <w:spacing w:val="4"/>
        </w:rPr>
        <w:t>Napojení na stávající dálkový dohled výhybek DPO (datový modem LTE a převodník LAN-TCP/RS485),</w:t>
      </w:r>
    </w:p>
    <w:p w14:paraId="261AE5D7" w14:textId="77777777" w:rsidR="0003718D" w:rsidRPr="001B3F1E" w:rsidRDefault="0003718D" w:rsidP="0003718D">
      <w:pPr>
        <w:pStyle w:val="Odstavecseseznamem"/>
        <w:numPr>
          <w:ilvl w:val="0"/>
          <w:numId w:val="9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/>
        </w:rPr>
      </w:pPr>
      <w:r w:rsidRPr="001B3F1E">
        <w:rPr>
          <w:rFonts w:ascii="Times New Roman" w:hAnsi="Times New Roman"/>
          <w:spacing w:val="4"/>
        </w:rPr>
        <w:t>Rozhraní RS485, protokol MODBUS ASCII</w:t>
      </w:r>
    </w:p>
    <w:p w14:paraId="70F020C6" w14:textId="77777777" w:rsidR="0003718D" w:rsidRPr="001B3F1E" w:rsidRDefault="0003718D" w:rsidP="0003718D">
      <w:pPr>
        <w:pStyle w:val="Odstavecseseznamem"/>
        <w:tabs>
          <w:tab w:val="left" w:pos="945"/>
        </w:tabs>
        <w:ind w:left="780"/>
        <w:jc w:val="both"/>
        <w:rPr>
          <w:rFonts w:ascii="Times New Roman" w:hAnsi="Times New Roman"/>
        </w:rPr>
      </w:pPr>
    </w:p>
    <w:p w14:paraId="47264A8F" w14:textId="77777777" w:rsidR="0003718D" w:rsidRPr="001B3F1E" w:rsidRDefault="0003718D" w:rsidP="0003718D">
      <w:pPr>
        <w:tabs>
          <w:tab w:val="left" w:pos="945"/>
        </w:tabs>
        <w:jc w:val="both"/>
        <w:rPr>
          <w:sz w:val="22"/>
          <w:szCs w:val="22"/>
        </w:rPr>
      </w:pPr>
      <w:r w:rsidRPr="001B3F1E">
        <w:rPr>
          <w:sz w:val="22"/>
          <w:szCs w:val="22"/>
        </w:rPr>
        <w:t xml:space="preserve"> Minimální rozsah přenášených dat pro dálkový dohled:</w:t>
      </w:r>
    </w:p>
    <w:p w14:paraId="230728E4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číslo vozidla, které světla aktivovalo/deaktivovalo</w:t>
      </w:r>
    </w:p>
    <w:p w14:paraId="64B87D9B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čas, kdy byla světla aktivována a deaktivována,</w:t>
      </w:r>
    </w:p>
    <w:p w14:paraId="14B787CA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porucha spojení s jednotkou RSU,</w:t>
      </w:r>
    </w:p>
    <w:p w14:paraId="5FE11A1C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porucha napájení,</w:t>
      </w:r>
    </w:p>
    <w:p w14:paraId="59B39A2F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porucha napájení světel (např. přepálení pojistky jistící některou světelnou větev),</w:t>
      </w:r>
    </w:p>
    <w:p w14:paraId="5A2EDA22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Synchronizace času místní řídící jednotky se serverem dálkového dohledu k zajištění jednotné časové posloupnosti odpovídající skutečné době událostí,</w:t>
      </w:r>
    </w:p>
    <w:p w14:paraId="52733B1E" w14:textId="77777777" w:rsidR="0003718D" w:rsidRPr="001B3F1E" w:rsidRDefault="0003718D" w:rsidP="0003718D">
      <w:pPr>
        <w:numPr>
          <w:ilvl w:val="3"/>
          <w:numId w:val="8"/>
        </w:numPr>
        <w:tabs>
          <w:tab w:val="clear" w:pos="2880"/>
        </w:tabs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přenos historie událostí na server dálkového dohledu,</w:t>
      </w:r>
    </w:p>
    <w:p w14:paraId="29AFD5E7" w14:textId="77777777" w:rsidR="0003718D" w:rsidRPr="001B3F1E" w:rsidRDefault="0003718D" w:rsidP="0003718D">
      <w:pPr>
        <w:numPr>
          <w:ilvl w:val="3"/>
          <w:numId w:val="8"/>
        </w:numPr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typ a verze software všech použitých součástí.</w:t>
      </w:r>
    </w:p>
    <w:p w14:paraId="59ADB6E3" w14:textId="77777777" w:rsidR="0003718D" w:rsidRPr="001B3F1E" w:rsidRDefault="0003718D" w:rsidP="0003718D">
      <w:pPr>
        <w:numPr>
          <w:ilvl w:val="3"/>
          <w:numId w:val="8"/>
        </w:numPr>
        <w:suppressAutoHyphens w:val="0"/>
        <w:ind w:left="2127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režimy řízení:</w:t>
      </w:r>
    </w:p>
    <w:p w14:paraId="784E169A" w14:textId="77777777" w:rsidR="0003718D" w:rsidRPr="001B3F1E" w:rsidRDefault="0003718D" w:rsidP="0003718D">
      <w:pPr>
        <w:numPr>
          <w:ilvl w:val="4"/>
          <w:numId w:val="8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automatika.</w:t>
      </w:r>
    </w:p>
    <w:p w14:paraId="66C6009D" w14:textId="77777777" w:rsidR="0003718D" w:rsidRPr="001B3F1E" w:rsidRDefault="0003718D" w:rsidP="0003718D">
      <w:pPr>
        <w:numPr>
          <w:ilvl w:val="4"/>
          <w:numId w:val="8"/>
        </w:numPr>
        <w:suppressAutoHyphens w:val="0"/>
        <w:jc w:val="both"/>
        <w:textAlignment w:val="center"/>
        <w:rPr>
          <w:sz w:val="22"/>
          <w:szCs w:val="22"/>
        </w:rPr>
      </w:pPr>
      <w:r w:rsidRPr="001B3F1E">
        <w:rPr>
          <w:sz w:val="22"/>
          <w:szCs w:val="22"/>
        </w:rPr>
        <w:t>místně ručně zapnuto.</w:t>
      </w:r>
    </w:p>
    <w:p w14:paraId="55126BD0" w14:textId="77777777" w:rsidR="0003718D" w:rsidRPr="001B3F1E" w:rsidRDefault="0003718D" w:rsidP="0003718D">
      <w:pPr>
        <w:jc w:val="both"/>
        <w:textAlignment w:val="center"/>
        <w:rPr>
          <w:sz w:val="22"/>
          <w:szCs w:val="22"/>
        </w:rPr>
      </w:pPr>
    </w:p>
    <w:p w14:paraId="3EBEF02A" w14:textId="77777777" w:rsidR="0003718D" w:rsidRPr="001B3F1E" w:rsidRDefault="0003718D" w:rsidP="0003718D">
      <w:pPr>
        <w:tabs>
          <w:tab w:val="left" w:pos="945"/>
        </w:tabs>
        <w:jc w:val="both"/>
        <w:rPr>
          <w:sz w:val="22"/>
          <w:szCs w:val="22"/>
        </w:rPr>
      </w:pPr>
    </w:p>
    <w:p w14:paraId="3E1060C9" w14:textId="226CEF6C" w:rsidR="0003718D" w:rsidRPr="001B3F1E" w:rsidRDefault="0003718D" w:rsidP="0003718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bookmarkStart w:id="1" w:name="_Ref36413578"/>
      <w:r w:rsidRPr="001B3F1E">
        <w:rPr>
          <w:rFonts w:ascii="Times New Roman" w:hAnsi="Times New Roman" w:cs="Times New Roman"/>
          <w:sz w:val="22"/>
          <w:szCs w:val="22"/>
        </w:rPr>
        <w:t>DPO v současné době používá systém V2X pro řízení preference vozidel MHD. Toto je realizováno pomocí SREM a SSEM</w:t>
      </w:r>
      <w:bookmarkEnd w:id="1"/>
      <w:r w:rsidR="00E55F49">
        <w:rPr>
          <w:rFonts w:ascii="Times New Roman" w:hAnsi="Times New Roman" w:cs="Times New Roman"/>
          <w:sz w:val="22"/>
          <w:szCs w:val="22"/>
        </w:rPr>
        <w:t>.</w:t>
      </w:r>
      <w:r w:rsidRPr="001B3F1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0A5972" w14:textId="57437061" w:rsidR="0003718D" w:rsidRPr="00925A5B" w:rsidRDefault="0003718D" w:rsidP="0003718D">
      <w:pPr>
        <w:autoSpaceDE w:val="0"/>
        <w:autoSpaceDN w:val="0"/>
        <w:adjustRightInd w:val="0"/>
        <w:spacing w:after="4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1B3F1E">
        <w:rPr>
          <w:spacing w:val="-2"/>
          <w:sz w:val="22"/>
          <w:szCs w:val="22"/>
        </w:rPr>
        <w:t xml:space="preserve"> </w:t>
      </w:r>
    </w:p>
    <w:p w14:paraId="49ABA3A5" w14:textId="559117EF" w:rsidR="007F5CA1" w:rsidRPr="00925A5B" w:rsidRDefault="007F5CA1" w:rsidP="0003718D">
      <w:pPr>
        <w:autoSpaceDE w:val="0"/>
        <w:autoSpaceDN w:val="0"/>
        <w:adjustRightInd w:val="0"/>
        <w:spacing w:after="4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25A5B">
        <w:rPr>
          <w:rFonts w:eastAsiaTheme="minorHAnsi"/>
          <w:color w:val="000000"/>
          <w:sz w:val="22"/>
          <w:szCs w:val="22"/>
          <w:lang w:eastAsia="en-US"/>
        </w:rPr>
        <w:t>Součástí dodávky bude detailně popsaný vytvořený datový protokol řízení varovných světel a popsána využitá data ze standardu C-ITS-G5  či případně další použitá API.</w:t>
      </w:r>
    </w:p>
    <w:p w14:paraId="077D25AC" w14:textId="77777777" w:rsidR="00BA1A8D" w:rsidRPr="001B3F1E" w:rsidRDefault="00BA1A8D" w:rsidP="002E2044">
      <w:pPr>
        <w:ind w:left="360"/>
        <w:jc w:val="both"/>
        <w:rPr>
          <w:b/>
          <w:sz w:val="22"/>
          <w:szCs w:val="22"/>
        </w:rPr>
      </w:pPr>
      <w:bookmarkStart w:id="2" w:name="_GoBack"/>
      <w:bookmarkEnd w:id="2"/>
    </w:p>
    <w:sectPr w:rsidR="00BA1A8D" w:rsidRPr="001B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900C92" w16cex:dateUtc="2024-07-24T07:05:00Z"/>
  <w16cex:commentExtensible w16cex:durableId="0901E773" w16cex:dateUtc="2024-08-01T09:01:00Z"/>
  <w16cex:commentExtensible w16cex:durableId="5D62CE6B" w16cex:dateUtc="2024-07-24T06:58:00Z"/>
  <w16cex:commentExtensible w16cex:durableId="0E4AEDE9" w16cex:dateUtc="2024-08-01T09:03:00Z"/>
  <w16cex:commentExtensible w16cex:durableId="7459FC88" w16cex:dateUtc="2024-07-24T06:58:00Z"/>
  <w16cex:commentExtensible w16cex:durableId="1101B9B3" w16cex:dateUtc="2024-08-01T09:03:00Z"/>
  <w16cex:commentExtensible w16cex:durableId="01CD8508" w16cex:dateUtc="2024-07-24T07:03:00Z"/>
  <w16cex:commentExtensible w16cex:durableId="1444B9F4" w16cex:dateUtc="2024-08-01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7BA9AD" w16cid:durableId="35900C92"/>
  <w16cid:commentId w16cid:paraId="56A401E3" w16cid:durableId="0901E773"/>
  <w16cid:commentId w16cid:paraId="1B97DF68" w16cid:durableId="5D62CE6B"/>
  <w16cid:commentId w16cid:paraId="425238A0" w16cid:durableId="0E4AEDE9"/>
  <w16cid:commentId w16cid:paraId="682355A2" w16cid:durableId="7459FC88"/>
  <w16cid:commentId w16cid:paraId="70619FA3" w16cid:durableId="1101B9B3"/>
  <w16cid:commentId w16cid:paraId="2FA31B18" w16cid:durableId="01CD8508"/>
  <w16cid:commentId w16cid:paraId="1B89EAC3" w16cid:durableId="1444B9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A367C" w14:textId="77777777" w:rsidR="00374B78" w:rsidRDefault="00374B78" w:rsidP="00B01B99">
      <w:r>
        <w:separator/>
      </w:r>
    </w:p>
  </w:endnote>
  <w:endnote w:type="continuationSeparator" w:id="0">
    <w:p w14:paraId="21F47CBE" w14:textId="77777777" w:rsidR="00374B78" w:rsidRDefault="00374B78" w:rsidP="00B0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7214F" w14:textId="77777777" w:rsidR="00374B78" w:rsidRDefault="00374B78" w:rsidP="00B01B99">
      <w:r>
        <w:separator/>
      </w:r>
    </w:p>
  </w:footnote>
  <w:footnote w:type="continuationSeparator" w:id="0">
    <w:p w14:paraId="68045172" w14:textId="77777777" w:rsidR="00374B78" w:rsidRDefault="00374B78" w:rsidP="00B01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47B8"/>
    <w:multiLevelType w:val="hybridMultilevel"/>
    <w:tmpl w:val="3470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E4DE0"/>
    <w:multiLevelType w:val="hybridMultilevel"/>
    <w:tmpl w:val="440604A2"/>
    <w:lvl w:ilvl="0" w:tplc="715AF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34F62"/>
    <w:multiLevelType w:val="hybridMultilevel"/>
    <w:tmpl w:val="7A9AD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611F7"/>
    <w:multiLevelType w:val="hybridMultilevel"/>
    <w:tmpl w:val="BFB4D006"/>
    <w:lvl w:ilvl="0" w:tplc="6DA48E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A3D3E"/>
    <w:multiLevelType w:val="multilevel"/>
    <w:tmpl w:val="7438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pStyle w:val="Nadpi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pStyle w:val="Nadpis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pStyle w:val="Nadpis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pStyle w:val="Nadpis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pStyle w:val="Nadpis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pStyle w:val="Nadpis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pStyle w:val="Nadpis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00B4E"/>
    <w:multiLevelType w:val="hybridMultilevel"/>
    <w:tmpl w:val="D4E4D25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2A662E2"/>
    <w:multiLevelType w:val="multilevel"/>
    <w:tmpl w:val="7900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32D522F"/>
    <w:multiLevelType w:val="multilevel"/>
    <w:tmpl w:val="57BA0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9C"/>
    <w:rsid w:val="0002127F"/>
    <w:rsid w:val="0003718D"/>
    <w:rsid w:val="00037A68"/>
    <w:rsid w:val="000414AA"/>
    <w:rsid w:val="00041E47"/>
    <w:rsid w:val="00064685"/>
    <w:rsid w:val="00067B2E"/>
    <w:rsid w:val="00070058"/>
    <w:rsid w:val="00070360"/>
    <w:rsid w:val="00071FA8"/>
    <w:rsid w:val="000747BB"/>
    <w:rsid w:val="00076CC8"/>
    <w:rsid w:val="0007797D"/>
    <w:rsid w:val="00085F74"/>
    <w:rsid w:val="00086C98"/>
    <w:rsid w:val="00097B6F"/>
    <w:rsid w:val="000A2498"/>
    <w:rsid w:val="000B785C"/>
    <w:rsid w:val="000C36CF"/>
    <w:rsid w:val="000E6407"/>
    <w:rsid w:val="0010454E"/>
    <w:rsid w:val="0010487D"/>
    <w:rsid w:val="00106676"/>
    <w:rsid w:val="00110F95"/>
    <w:rsid w:val="00113E77"/>
    <w:rsid w:val="00134FE4"/>
    <w:rsid w:val="0013521E"/>
    <w:rsid w:val="00136BEF"/>
    <w:rsid w:val="001568AD"/>
    <w:rsid w:val="00172659"/>
    <w:rsid w:val="00173907"/>
    <w:rsid w:val="001A1126"/>
    <w:rsid w:val="001A11CB"/>
    <w:rsid w:val="001A439F"/>
    <w:rsid w:val="001A5E1A"/>
    <w:rsid w:val="001B3F1E"/>
    <w:rsid w:val="001D22C4"/>
    <w:rsid w:val="001D285D"/>
    <w:rsid w:val="001D36DC"/>
    <w:rsid w:val="001E1D0D"/>
    <w:rsid w:val="00200CD1"/>
    <w:rsid w:val="0021776B"/>
    <w:rsid w:val="0022206A"/>
    <w:rsid w:val="00251264"/>
    <w:rsid w:val="002636C9"/>
    <w:rsid w:val="00284845"/>
    <w:rsid w:val="002945EE"/>
    <w:rsid w:val="002C03DD"/>
    <w:rsid w:val="002C4923"/>
    <w:rsid w:val="002D1D77"/>
    <w:rsid w:val="002D3632"/>
    <w:rsid w:val="002E2044"/>
    <w:rsid w:val="00313D00"/>
    <w:rsid w:val="00314877"/>
    <w:rsid w:val="00316B80"/>
    <w:rsid w:val="00317899"/>
    <w:rsid w:val="0032457E"/>
    <w:rsid w:val="00341E55"/>
    <w:rsid w:val="00342EB0"/>
    <w:rsid w:val="00366883"/>
    <w:rsid w:val="0037212E"/>
    <w:rsid w:val="00374B78"/>
    <w:rsid w:val="0038228D"/>
    <w:rsid w:val="003A7F59"/>
    <w:rsid w:val="003B1DB8"/>
    <w:rsid w:val="003B778E"/>
    <w:rsid w:val="003C58A6"/>
    <w:rsid w:val="003E39A3"/>
    <w:rsid w:val="003E67A5"/>
    <w:rsid w:val="003E75C2"/>
    <w:rsid w:val="003F09FC"/>
    <w:rsid w:val="003F1E9E"/>
    <w:rsid w:val="00421636"/>
    <w:rsid w:val="0044143D"/>
    <w:rsid w:val="0046225F"/>
    <w:rsid w:val="00465500"/>
    <w:rsid w:val="00473B12"/>
    <w:rsid w:val="00475345"/>
    <w:rsid w:val="004A1DF4"/>
    <w:rsid w:val="004B0934"/>
    <w:rsid w:val="004B0E70"/>
    <w:rsid w:val="004B21E0"/>
    <w:rsid w:val="004B472C"/>
    <w:rsid w:val="004B4764"/>
    <w:rsid w:val="004B5F51"/>
    <w:rsid w:val="004B7A52"/>
    <w:rsid w:val="004D1E2C"/>
    <w:rsid w:val="004F0229"/>
    <w:rsid w:val="0051087E"/>
    <w:rsid w:val="00512330"/>
    <w:rsid w:val="005126E9"/>
    <w:rsid w:val="00532F4D"/>
    <w:rsid w:val="005335D6"/>
    <w:rsid w:val="00533EC8"/>
    <w:rsid w:val="00541959"/>
    <w:rsid w:val="0055622C"/>
    <w:rsid w:val="00570EDA"/>
    <w:rsid w:val="00581184"/>
    <w:rsid w:val="005C07D6"/>
    <w:rsid w:val="005C7124"/>
    <w:rsid w:val="005D376E"/>
    <w:rsid w:val="005D6937"/>
    <w:rsid w:val="005D790E"/>
    <w:rsid w:val="005E37D1"/>
    <w:rsid w:val="005E578C"/>
    <w:rsid w:val="0060595A"/>
    <w:rsid w:val="00614189"/>
    <w:rsid w:val="006265EE"/>
    <w:rsid w:val="006526E1"/>
    <w:rsid w:val="006547B2"/>
    <w:rsid w:val="00664A58"/>
    <w:rsid w:val="00674286"/>
    <w:rsid w:val="00676257"/>
    <w:rsid w:val="006901BF"/>
    <w:rsid w:val="006A509A"/>
    <w:rsid w:val="006B1D6C"/>
    <w:rsid w:val="006B7212"/>
    <w:rsid w:val="007128DC"/>
    <w:rsid w:val="007141B9"/>
    <w:rsid w:val="00731023"/>
    <w:rsid w:val="00756B30"/>
    <w:rsid w:val="00767E5B"/>
    <w:rsid w:val="00771E7A"/>
    <w:rsid w:val="00795456"/>
    <w:rsid w:val="00797264"/>
    <w:rsid w:val="007A233C"/>
    <w:rsid w:val="007A7440"/>
    <w:rsid w:val="007B0289"/>
    <w:rsid w:val="007E16E2"/>
    <w:rsid w:val="007F5CA1"/>
    <w:rsid w:val="007F6CD4"/>
    <w:rsid w:val="0080383E"/>
    <w:rsid w:val="00823677"/>
    <w:rsid w:val="008449BB"/>
    <w:rsid w:val="00871484"/>
    <w:rsid w:val="008742D0"/>
    <w:rsid w:val="00875C01"/>
    <w:rsid w:val="00883C48"/>
    <w:rsid w:val="00884814"/>
    <w:rsid w:val="0088696F"/>
    <w:rsid w:val="008A1585"/>
    <w:rsid w:val="008A67B9"/>
    <w:rsid w:val="008C293B"/>
    <w:rsid w:val="008C5538"/>
    <w:rsid w:val="008D255C"/>
    <w:rsid w:val="008D7F98"/>
    <w:rsid w:val="008E3D6A"/>
    <w:rsid w:val="008E778C"/>
    <w:rsid w:val="00900F0D"/>
    <w:rsid w:val="009170CE"/>
    <w:rsid w:val="00925A5B"/>
    <w:rsid w:val="009529B3"/>
    <w:rsid w:val="00973F1D"/>
    <w:rsid w:val="009771D4"/>
    <w:rsid w:val="00990679"/>
    <w:rsid w:val="00992064"/>
    <w:rsid w:val="009965CB"/>
    <w:rsid w:val="009B0CF5"/>
    <w:rsid w:val="009B6E1A"/>
    <w:rsid w:val="009D03D5"/>
    <w:rsid w:val="009E50FD"/>
    <w:rsid w:val="00A0067F"/>
    <w:rsid w:val="00A134D0"/>
    <w:rsid w:val="00A2501B"/>
    <w:rsid w:val="00A271EB"/>
    <w:rsid w:val="00A42D1E"/>
    <w:rsid w:val="00A62780"/>
    <w:rsid w:val="00A67F25"/>
    <w:rsid w:val="00AE26AE"/>
    <w:rsid w:val="00AE2FC8"/>
    <w:rsid w:val="00AF259C"/>
    <w:rsid w:val="00B01B99"/>
    <w:rsid w:val="00B02EC9"/>
    <w:rsid w:val="00B0523E"/>
    <w:rsid w:val="00B33EBD"/>
    <w:rsid w:val="00B511F8"/>
    <w:rsid w:val="00B609C0"/>
    <w:rsid w:val="00B81948"/>
    <w:rsid w:val="00B90D5C"/>
    <w:rsid w:val="00B97D7E"/>
    <w:rsid w:val="00BA1A8D"/>
    <w:rsid w:val="00BB64FF"/>
    <w:rsid w:val="00BC0C23"/>
    <w:rsid w:val="00BD10C4"/>
    <w:rsid w:val="00BE1248"/>
    <w:rsid w:val="00BE152A"/>
    <w:rsid w:val="00C22BB2"/>
    <w:rsid w:val="00C2681E"/>
    <w:rsid w:val="00C30D70"/>
    <w:rsid w:val="00C42490"/>
    <w:rsid w:val="00C67E1F"/>
    <w:rsid w:val="00C67F9C"/>
    <w:rsid w:val="00C71CAD"/>
    <w:rsid w:val="00CA5C85"/>
    <w:rsid w:val="00CB5B07"/>
    <w:rsid w:val="00CE290F"/>
    <w:rsid w:val="00CF4306"/>
    <w:rsid w:val="00CF73A7"/>
    <w:rsid w:val="00D0435F"/>
    <w:rsid w:val="00D12781"/>
    <w:rsid w:val="00D1553A"/>
    <w:rsid w:val="00D15542"/>
    <w:rsid w:val="00D23B50"/>
    <w:rsid w:val="00D32771"/>
    <w:rsid w:val="00D33105"/>
    <w:rsid w:val="00D3766D"/>
    <w:rsid w:val="00D5355B"/>
    <w:rsid w:val="00D57D7E"/>
    <w:rsid w:val="00D74056"/>
    <w:rsid w:val="00D93934"/>
    <w:rsid w:val="00D94313"/>
    <w:rsid w:val="00DB1405"/>
    <w:rsid w:val="00DB3F37"/>
    <w:rsid w:val="00DB6467"/>
    <w:rsid w:val="00DC513F"/>
    <w:rsid w:val="00DD6A55"/>
    <w:rsid w:val="00E07100"/>
    <w:rsid w:val="00E07CF7"/>
    <w:rsid w:val="00E112A8"/>
    <w:rsid w:val="00E431F0"/>
    <w:rsid w:val="00E478C0"/>
    <w:rsid w:val="00E55F49"/>
    <w:rsid w:val="00E66C0F"/>
    <w:rsid w:val="00E67AE6"/>
    <w:rsid w:val="00E72DED"/>
    <w:rsid w:val="00EA789B"/>
    <w:rsid w:val="00EB32A8"/>
    <w:rsid w:val="00ED2690"/>
    <w:rsid w:val="00ED6AD0"/>
    <w:rsid w:val="00EE31EE"/>
    <w:rsid w:val="00F021C3"/>
    <w:rsid w:val="00F35124"/>
    <w:rsid w:val="00F53874"/>
    <w:rsid w:val="00F6755B"/>
    <w:rsid w:val="00F81CEF"/>
    <w:rsid w:val="00F94BC5"/>
    <w:rsid w:val="00FA3A75"/>
    <w:rsid w:val="00FB0D74"/>
    <w:rsid w:val="00FC1E1D"/>
    <w:rsid w:val="00FD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BA7D42"/>
  <w15:chartTrackingRefBased/>
  <w15:docId w15:val="{EEFC5094-FFD1-4FC9-82DC-2DA604CC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F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aliases w:val="kapitola"/>
    <w:next w:val="Zkladntext"/>
    <w:link w:val="Nadpis1Char"/>
    <w:uiPriority w:val="9"/>
    <w:qFormat/>
    <w:rsid w:val="0003718D"/>
    <w:pPr>
      <w:keepNext/>
      <w:keepLines/>
      <w:pageBreakBefore/>
      <w:numPr>
        <w:numId w:val="6"/>
      </w:numPr>
      <w:suppressAutoHyphens/>
      <w:spacing w:before="360" w:after="240" w:line="240" w:lineRule="auto"/>
      <w:outlineLvl w:val="0"/>
    </w:pPr>
    <w:rPr>
      <w:rFonts w:ascii="Arial" w:eastAsia="Times New Roman" w:hAnsi="Arial" w:cs="Times New Roman"/>
      <w:i/>
      <w:kern w:val="28"/>
      <w:sz w:val="40"/>
      <w:szCs w:val="20"/>
      <w:lang w:eastAsia="cs-CZ"/>
    </w:rPr>
  </w:style>
  <w:style w:type="paragraph" w:styleId="Nadpis2">
    <w:name w:val="heading 2"/>
    <w:aliases w:val="hlavní"/>
    <w:basedOn w:val="Nadpis1"/>
    <w:next w:val="Zkladntext"/>
    <w:link w:val="Nadpis2Char"/>
    <w:qFormat/>
    <w:rsid w:val="0003718D"/>
    <w:pPr>
      <w:pageBreakBefore w:val="0"/>
      <w:numPr>
        <w:ilvl w:val="1"/>
      </w:numPr>
      <w:spacing w:after="120"/>
      <w:ind w:left="567" w:hanging="567"/>
      <w:outlineLvl w:val="1"/>
    </w:pPr>
    <w:rPr>
      <w:b/>
      <w:i w:val="0"/>
      <w:sz w:val="32"/>
    </w:rPr>
  </w:style>
  <w:style w:type="paragraph" w:styleId="Nadpis3">
    <w:name w:val="heading 3"/>
    <w:aliases w:val="subnadpis"/>
    <w:basedOn w:val="Nadpis2"/>
    <w:next w:val="Zkladntext"/>
    <w:link w:val="Nadpis3Char"/>
    <w:qFormat/>
    <w:rsid w:val="0003718D"/>
    <w:pPr>
      <w:numPr>
        <w:ilvl w:val="2"/>
      </w:numPr>
      <w:spacing w:before="300" w:after="100"/>
      <w:ind w:left="567" w:hanging="567"/>
      <w:outlineLvl w:val="2"/>
    </w:pPr>
    <w:rPr>
      <w:sz w:val="28"/>
    </w:rPr>
  </w:style>
  <w:style w:type="paragraph" w:styleId="Nadpis4">
    <w:name w:val="heading 4"/>
    <w:basedOn w:val="Nadpis3"/>
    <w:next w:val="Zkladntext"/>
    <w:link w:val="Nadpis4Char"/>
    <w:qFormat/>
    <w:rsid w:val="0003718D"/>
    <w:pPr>
      <w:numPr>
        <w:ilvl w:val="3"/>
      </w:numPr>
      <w:spacing w:before="240" w:after="80"/>
      <w:ind w:left="1077" w:hanging="1077"/>
      <w:outlineLvl w:val="3"/>
    </w:pPr>
    <w:rPr>
      <w:sz w:val="26"/>
    </w:rPr>
  </w:style>
  <w:style w:type="paragraph" w:styleId="Nadpis5">
    <w:name w:val="heading 5"/>
    <w:basedOn w:val="Nadpis4"/>
    <w:next w:val="Zkladntext"/>
    <w:link w:val="Nadpis5Char"/>
    <w:qFormat/>
    <w:rsid w:val="0003718D"/>
    <w:pPr>
      <w:numPr>
        <w:ilvl w:val="4"/>
      </w:numPr>
      <w:spacing w:before="200"/>
      <w:ind w:left="1191" w:hanging="1191"/>
      <w:outlineLvl w:val="4"/>
    </w:pPr>
    <w:rPr>
      <w:sz w:val="24"/>
    </w:rPr>
  </w:style>
  <w:style w:type="paragraph" w:styleId="Nadpis6">
    <w:name w:val="heading 6"/>
    <w:basedOn w:val="Nadpis5"/>
    <w:next w:val="Zkladntext"/>
    <w:link w:val="Nadpis6Char"/>
    <w:qFormat/>
    <w:rsid w:val="0003718D"/>
    <w:pPr>
      <w:numPr>
        <w:ilvl w:val="5"/>
      </w:numPr>
      <w:spacing w:before="160" w:after="60"/>
      <w:ind w:left="1304" w:hanging="1304"/>
      <w:outlineLvl w:val="5"/>
    </w:pPr>
    <w:rPr>
      <w:i/>
    </w:rPr>
  </w:style>
  <w:style w:type="paragraph" w:styleId="Nadpis7">
    <w:name w:val="heading 7"/>
    <w:basedOn w:val="Nadpis6"/>
    <w:next w:val="Zkladntext"/>
    <w:link w:val="Nadpis7Char"/>
    <w:qFormat/>
    <w:rsid w:val="0003718D"/>
    <w:pPr>
      <w:numPr>
        <w:ilvl w:val="6"/>
      </w:numPr>
      <w:spacing w:before="120"/>
      <w:ind w:left="1474" w:hanging="1474"/>
      <w:outlineLvl w:val="6"/>
    </w:pPr>
    <w:rPr>
      <w:i w:val="0"/>
      <w:sz w:val="22"/>
    </w:rPr>
  </w:style>
  <w:style w:type="paragraph" w:styleId="Nadpis8">
    <w:name w:val="heading 8"/>
    <w:basedOn w:val="Nadpis7"/>
    <w:next w:val="Zkladntext"/>
    <w:link w:val="Nadpis8Char"/>
    <w:qFormat/>
    <w:rsid w:val="0003718D"/>
    <w:pPr>
      <w:numPr>
        <w:ilvl w:val="7"/>
      </w:numPr>
      <w:spacing w:before="100" w:after="40"/>
      <w:ind w:left="1644" w:hanging="1644"/>
      <w:outlineLvl w:val="7"/>
    </w:pPr>
    <w:rPr>
      <w:i/>
    </w:rPr>
  </w:style>
  <w:style w:type="paragraph" w:styleId="Nadpis9">
    <w:name w:val="heading 9"/>
    <w:basedOn w:val="Nadpis8"/>
    <w:next w:val="Zkladntext"/>
    <w:link w:val="Nadpis9Char"/>
    <w:qFormat/>
    <w:rsid w:val="0003718D"/>
    <w:pPr>
      <w:numPr>
        <w:ilvl w:val="8"/>
      </w:numPr>
      <w:tabs>
        <w:tab w:val="num" w:pos="360"/>
      </w:tabs>
      <w:spacing w:before="80"/>
      <w:ind w:left="1758" w:hanging="1758"/>
      <w:outlineLvl w:val="8"/>
    </w:pPr>
    <w:rPr>
      <w:rFonts w:ascii="Arial Narrow" w:hAnsi="Arial Narrow"/>
      <w:i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C67F9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C67F9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n2">
    <w:name w:val="Normální2"/>
    <w:rsid w:val="00C67F9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B01B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1B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B01B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1B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evize">
    <w:name w:val="Revision"/>
    <w:hidden/>
    <w:uiPriority w:val="99"/>
    <w:semiHidden/>
    <w:rsid w:val="004B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4B47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47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472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4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472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4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45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03718D"/>
    <w:rPr>
      <w:rFonts w:ascii="Arial" w:eastAsia="Times New Roman" w:hAnsi="Arial" w:cs="Times New Roman"/>
      <w:i/>
      <w:kern w:val="28"/>
      <w:sz w:val="40"/>
      <w:szCs w:val="20"/>
      <w:lang w:eastAsia="cs-CZ"/>
    </w:rPr>
  </w:style>
  <w:style w:type="character" w:customStyle="1" w:styleId="Nadpis2Char">
    <w:name w:val="Nadpis 2 Char"/>
    <w:aliases w:val="hlavní Char"/>
    <w:basedOn w:val="Standardnpsmoodstavce"/>
    <w:link w:val="Nadpis2"/>
    <w:rsid w:val="0003718D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03718D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3718D"/>
    <w:rPr>
      <w:rFonts w:ascii="Arial" w:eastAsia="Times New Roman" w:hAnsi="Arial" w:cs="Times New Roman"/>
      <w:b/>
      <w:kern w:val="28"/>
      <w:sz w:val="2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3718D"/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3718D"/>
    <w:rPr>
      <w:rFonts w:ascii="Arial" w:eastAsia="Times New Roman" w:hAnsi="Arial" w:cs="Times New Roman"/>
      <w:b/>
      <w:i/>
      <w:kern w:val="2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3718D"/>
    <w:rPr>
      <w:rFonts w:ascii="Arial" w:eastAsia="Times New Roman" w:hAnsi="Arial" w:cs="Times New Roman"/>
      <w:b/>
      <w:kern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3718D"/>
    <w:rPr>
      <w:rFonts w:ascii="Arial" w:eastAsia="Times New Roman" w:hAnsi="Arial" w:cs="Times New Roman"/>
      <w:b/>
      <w:i/>
      <w:kern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03718D"/>
    <w:rPr>
      <w:rFonts w:ascii="Arial Narrow" w:eastAsia="Times New Roman" w:hAnsi="Arial Narrow" w:cs="Times New Roman"/>
      <w:b/>
      <w:kern w:val="28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3718D"/>
    <w:rPr>
      <w:b/>
      <w:bCs/>
    </w:rPr>
  </w:style>
  <w:style w:type="paragraph" w:customStyle="1" w:styleId="Default">
    <w:name w:val="Default"/>
    <w:rsid w:val="000371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371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718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1158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Mžik Lukáš</dc:creator>
  <cp:keywords/>
  <dc:description/>
  <cp:lastModifiedBy>Hýža David, Ing.</cp:lastModifiedBy>
  <cp:revision>30</cp:revision>
  <dcterms:created xsi:type="dcterms:W3CDTF">2024-09-05T12:03:00Z</dcterms:created>
  <dcterms:modified xsi:type="dcterms:W3CDTF">2025-04-23T04:14:00Z</dcterms:modified>
</cp:coreProperties>
</file>